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CF" w:rsidRDefault="001F2104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民生</w:t>
      </w:r>
      <w:r>
        <w:rPr>
          <w:rFonts w:hint="eastAsia"/>
          <w:b/>
          <w:bCs/>
          <w:sz w:val="44"/>
        </w:rPr>
        <w:t>130m</w:t>
      </w:r>
      <w:r>
        <w:rPr>
          <w:rFonts w:hint="eastAsia"/>
          <w:b/>
          <w:bCs/>
          <w:sz w:val="44"/>
        </w:rPr>
        <w:t>集散货船（</w:t>
      </w:r>
      <w:r>
        <w:rPr>
          <w:rFonts w:hint="eastAsia"/>
          <w:b/>
          <w:bCs/>
          <w:sz w:val="44"/>
        </w:rPr>
        <w:t>III</w:t>
      </w:r>
      <w:r>
        <w:rPr>
          <w:rFonts w:hint="eastAsia"/>
          <w:b/>
          <w:bCs/>
          <w:sz w:val="44"/>
        </w:rPr>
        <w:t>型）</w:t>
      </w:r>
    </w:p>
    <w:p w:rsidR="00BD21CF" w:rsidRDefault="00BD21CF">
      <w:pPr>
        <w:jc w:val="center"/>
        <w:rPr>
          <w:b/>
          <w:bCs/>
          <w:sz w:val="44"/>
        </w:rPr>
      </w:pPr>
    </w:p>
    <w:p w:rsidR="00BD21CF" w:rsidRDefault="00BD21CF">
      <w:pPr>
        <w:jc w:val="center"/>
        <w:rPr>
          <w:b/>
          <w:bCs/>
          <w:sz w:val="44"/>
        </w:rPr>
      </w:pPr>
    </w:p>
    <w:p w:rsidR="00BD21CF" w:rsidRDefault="00BD21CF">
      <w:pPr>
        <w:autoSpaceDE w:val="0"/>
        <w:autoSpaceDN w:val="0"/>
        <w:adjustRightInd w:val="0"/>
        <w:rPr>
          <w:b/>
          <w:bCs/>
          <w:sz w:val="44"/>
        </w:rPr>
      </w:pPr>
    </w:p>
    <w:p w:rsidR="00BD21CF" w:rsidRDefault="001F2104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ascii="宋体" w:cs="宋体" w:hint="eastAsia"/>
          <w:b/>
          <w:kern w:val="0"/>
          <w:sz w:val="44"/>
          <w:szCs w:val="44"/>
        </w:rPr>
        <w:t>油漆</w:t>
      </w:r>
      <w:r>
        <w:rPr>
          <w:rFonts w:ascii="宋体" w:cs="宋体" w:hint="eastAsia"/>
          <w:b/>
          <w:kern w:val="0"/>
          <w:sz w:val="44"/>
          <w:szCs w:val="44"/>
        </w:rPr>
        <w:t>技术协议书</w:t>
      </w:r>
    </w:p>
    <w:p w:rsidR="00BD21CF" w:rsidRDefault="00BD21CF"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</w:p>
    <w:p w:rsidR="00BD21CF" w:rsidRDefault="00BD21CF">
      <w:pPr>
        <w:autoSpaceDE w:val="0"/>
        <w:autoSpaceDN w:val="0"/>
        <w:adjustRightInd w:val="0"/>
        <w:rPr>
          <w:rFonts w:ascii="宋体" w:cs="宋体"/>
          <w:kern w:val="0"/>
          <w:sz w:val="32"/>
          <w:szCs w:val="32"/>
        </w:rPr>
      </w:pPr>
    </w:p>
    <w:p w:rsidR="00BD21CF" w:rsidRDefault="00BD21CF">
      <w:pPr>
        <w:autoSpaceDE w:val="0"/>
        <w:autoSpaceDN w:val="0"/>
        <w:adjustRightInd w:val="0"/>
        <w:rPr>
          <w:rFonts w:ascii="宋体" w:cs="宋体"/>
          <w:kern w:val="0"/>
          <w:sz w:val="32"/>
          <w:szCs w:val="32"/>
        </w:rPr>
      </w:pPr>
    </w:p>
    <w:p w:rsidR="00BD21CF" w:rsidRDefault="00BD21CF">
      <w:pPr>
        <w:autoSpaceDE w:val="0"/>
        <w:autoSpaceDN w:val="0"/>
        <w:adjustRightInd w:val="0"/>
        <w:rPr>
          <w:rFonts w:ascii="宋体" w:cs="宋体"/>
          <w:kern w:val="0"/>
          <w:sz w:val="32"/>
          <w:szCs w:val="32"/>
        </w:rPr>
      </w:pPr>
    </w:p>
    <w:p w:rsidR="00BD21CF" w:rsidRDefault="00BD21CF">
      <w:pPr>
        <w:autoSpaceDE w:val="0"/>
        <w:autoSpaceDN w:val="0"/>
        <w:adjustRightInd w:val="0"/>
        <w:rPr>
          <w:rFonts w:ascii="宋体" w:cs="宋体"/>
          <w:kern w:val="0"/>
          <w:sz w:val="32"/>
          <w:szCs w:val="32"/>
        </w:rPr>
      </w:pPr>
    </w:p>
    <w:p w:rsidR="00BD21CF" w:rsidRDefault="00BD21CF">
      <w:pPr>
        <w:autoSpaceDE w:val="0"/>
        <w:autoSpaceDN w:val="0"/>
        <w:adjustRightInd w:val="0"/>
        <w:rPr>
          <w:rFonts w:ascii="宋体" w:cs="宋体"/>
          <w:kern w:val="0"/>
          <w:sz w:val="32"/>
          <w:szCs w:val="32"/>
        </w:rPr>
      </w:pPr>
    </w:p>
    <w:p w:rsidR="00BD21CF" w:rsidRDefault="00BD21CF">
      <w:pPr>
        <w:autoSpaceDE w:val="0"/>
        <w:autoSpaceDN w:val="0"/>
        <w:adjustRightInd w:val="0"/>
        <w:rPr>
          <w:rFonts w:ascii="宋体" w:cs="宋体"/>
          <w:kern w:val="0"/>
          <w:sz w:val="32"/>
          <w:szCs w:val="32"/>
        </w:rPr>
      </w:pPr>
    </w:p>
    <w:p w:rsidR="00BD21CF" w:rsidRDefault="001F21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船东：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民</w:t>
      </w:r>
      <w:r>
        <w:rPr>
          <w:rFonts w:ascii="仿宋_GB2312" w:eastAsia="仿宋_GB2312"/>
          <w:sz w:val="32"/>
          <w:szCs w:val="32"/>
        </w:rPr>
        <w:t>生轮船股份有限公司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BD21CF" w:rsidRDefault="001F21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代表：</w:t>
      </w:r>
    </w:p>
    <w:p w:rsidR="00BD21CF" w:rsidRDefault="001F21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船厂：重庆中江船业有限公司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BD21CF" w:rsidRDefault="001F21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代表：</w:t>
      </w:r>
    </w:p>
    <w:p w:rsidR="00BD21CF" w:rsidRDefault="001F21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设计院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重庆力瑞船舶设计有限公司</w:t>
      </w:r>
    </w:p>
    <w:p w:rsidR="00BD21CF" w:rsidRDefault="001F21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代表：</w:t>
      </w:r>
    </w:p>
    <w:p w:rsidR="00BD21CF" w:rsidRDefault="001F21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供货商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BD21CF" w:rsidRDefault="001F21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代表：</w:t>
      </w:r>
    </w:p>
    <w:p w:rsidR="00BD21CF" w:rsidRDefault="001F21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4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D21CF" w:rsidRDefault="00BD21CF">
      <w:pPr>
        <w:wordWrap w:val="0"/>
        <w:jc w:val="right"/>
        <w:rPr>
          <w:b/>
          <w:sz w:val="44"/>
          <w:szCs w:val="44"/>
        </w:rPr>
      </w:pPr>
    </w:p>
    <w:p w:rsidR="00BD21CF" w:rsidRDefault="001F2104">
      <w:pPr>
        <w:pStyle w:val="205050505"/>
        <w:numPr>
          <w:ilvl w:val="1"/>
          <w:numId w:val="1"/>
        </w:numPr>
        <w:spacing w:beforeLines="0" w:afterLines="0"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Toc439061845"/>
      <w:bookmarkStart w:id="1" w:name="_Toc438891388"/>
      <w:bookmarkStart w:id="2" w:name="_Toc438890321"/>
      <w:r>
        <w:rPr>
          <w:rFonts w:asciiTheme="minorEastAsia" w:hAnsiTheme="minorEastAsia" w:hint="eastAsia"/>
          <w:sz w:val="28"/>
          <w:szCs w:val="28"/>
        </w:rPr>
        <w:lastRenderedPageBreak/>
        <w:t>总则</w:t>
      </w:r>
      <w:bookmarkEnd w:id="0"/>
      <w:bookmarkEnd w:id="1"/>
      <w:bookmarkEnd w:id="2"/>
    </w:p>
    <w:p w:rsidR="00BD21CF" w:rsidRDefault="001F2104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油漆工作包括表面处理，按工厂惯例来施工</w:t>
      </w:r>
      <w:r>
        <w:rPr>
          <w:rFonts w:asciiTheme="minorEastAsia" w:hAnsiTheme="minorEastAsia" w:cs="Arial" w:hint="eastAsia"/>
          <w:sz w:val="28"/>
          <w:szCs w:val="28"/>
        </w:rPr>
        <w:t>.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油漆配套表提交船东认可，</w:t>
      </w:r>
      <w:r>
        <w:rPr>
          <w:rFonts w:asciiTheme="minorEastAsia" w:hAnsiTheme="minorEastAsia" w:cs="Arial" w:hint="eastAsia"/>
          <w:sz w:val="28"/>
          <w:szCs w:val="28"/>
        </w:rPr>
        <w:t>油</w:t>
      </w:r>
      <w:r>
        <w:rPr>
          <w:rFonts w:asciiTheme="minorEastAsia" w:hAnsiTheme="minorEastAsia" w:cs="Arial" w:hint="eastAsia"/>
          <w:sz w:val="28"/>
          <w:szCs w:val="28"/>
        </w:rPr>
        <w:t>漆颜色根据船东的配色表。每一度防腐油漆的颜色</w:t>
      </w:r>
      <w:r>
        <w:rPr>
          <w:rFonts w:asciiTheme="minorEastAsia" w:hAnsiTheme="minorEastAsia" w:cs="Arial" w:hint="eastAsia"/>
          <w:sz w:val="28"/>
          <w:szCs w:val="28"/>
        </w:rPr>
        <w:t>可以</w:t>
      </w:r>
      <w:r>
        <w:rPr>
          <w:rFonts w:asciiTheme="minorEastAsia" w:hAnsiTheme="minorEastAsia" w:cs="Arial" w:hint="eastAsia"/>
          <w:sz w:val="28"/>
          <w:szCs w:val="28"/>
        </w:rPr>
        <w:t>有区别以便容易辨认。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铜、铜合金、铝、铝合金，热镀锌和不锈钢一般不需要油漆，除非有其它特殊说明。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由分包商制造的钢质舾装件应根据本规格书要求涂装，或用与本规格书同类的油漆涂装，并且油漆要与邻近的结构油漆一致，以方便以后的维护与修补。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每度油漆的施工进度根据船厂建造进度来决定，但还</w:t>
      </w:r>
      <w:r>
        <w:rPr>
          <w:rFonts w:asciiTheme="minorEastAsia" w:hAnsiTheme="minorEastAsia" w:cs="Arial" w:hint="eastAsia"/>
          <w:sz w:val="28"/>
          <w:szCs w:val="28"/>
        </w:rPr>
        <w:t>需</w:t>
      </w:r>
      <w:r>
        <w:rPr>
          <w:rFonts w:asciiTheme="minorEastAsia" w:hAnsiTheme="minorEastAsia" w:cs="Arial" w:hint="eastAsia"/>
          <w:sz w:val="28"/>
          <w:szCs w:val="28"/>
        </w:rPr>
        <w:t>取决于油漆厂商建议的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油漆</w:t>
      </w:r>
      <w:r>
        <w:rPr>
          <w:rFonts w:asciiTheme="minorEastAsia" w:hAnsiTheme="minorEastAsia" w:cs="Arial" w:hint="eastAsia"/>
          <w:sz w:val="28"/>
          <w:szCs w:val="28"/>
        </w:rPr>
        <w:t>复</w:t>
      </w:r>
      <w:r>
        <w:rPr>
          <w:rFonts w:asciiTheme="minorEastAsia" w:hAnsiTheme="minorEastAsia" w:cs="Arial" w:hint="eastAsia"/>
          <w:sz w:val="28"/>
          <w:szCs w:val="28"/>
        </w:rPr>
        <w:t>涂间隔时间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与环境因素。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在油漆说明书中没有涉及到的部位或空间要与周围环境相似。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机器、电器设备、舾装件、阀件、航行设备、甲板机械、家具等油漆都按照厂家的标准</w:t>
      </w:r>
      <w:r>
        <w:rPr>
          <w:rFonts w:asciiTheme="minorEastAsia" w:hAnsiTheme="minorEastAsia" w:cs="Arial" w:hint="eastAsia"/>
          <w:sz w:val="28"/>
          <w:szCs w:val="28"/>
        </w:rPr>
        <w:t>制作除非有特殊说明。船上安装前后发生的油漆损坏要用同类油漆修补，如果设备大面积油漆被损坏，则需要修补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后通喷一度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 xml:space="preserve"> </w:t>
      </w:r>
      <w:r>
        <w:rPr>
          <w:rFonts w:asciiTheme="minorEastAsia" w:hAnsiTheme="minorEastAsia" w:cs="Arial" w:hint="eastAsia"/>
          <w:sz w:val="28"/>
          <w:szCs w:val="28"/>
        </w:rPr>
        <w:t>油漆施工前，船厂、船东代表、油漆服务商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应召开涂装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技术交底会。</w:t>
      </w:r>
    </w:p>
    <w:p w:rsidR="00BD21CF" w:rsidRDefault="00BD21CF">
      <w:pPr>
        <w:ind w:leftChars="100" w:left="210"/>
        <w:rPr>
          <w:rFonts w:asciiTheme="minorEastAsia" w:hAnsiTheme="minorEastAsia" w:cs="Arial"/>
          <w:sz w:val="28"/>
          <w:szCs w:val="28"/>
        </w:rPr>
      </w:pPr>
    </w:p>
    <w:p w:rsidR="00BD21CF" w:rsidRDefault="001F2104">
      <w:pPr>
        <w:pStyle w:val="205050505"/>
        <w:numPr>
          <w:ilvl w:val="1"/>
          <w:numId w:val="1"/>
        </w:numPr>
        <w:spacing w:beforeLines="0" w:afterLines="0"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3" w:name="_Toc438890322"/>
      <w:bookmarkStart w:id="4" w:name="_Toc439061846"/>
      <w:bookmarkStart w:id="5" w:name="_Toc438891389"/>
      <w:r>
        <w:rPr>
          <w:rFonts w:asciiTheme="minorEastAsia" w:hAnsiTheme="minorEastAsia" w:hint="eastAsia"/>
          <w:sz w:val="28"/>
          <w:szCs w:val="28"/>
        </w:rPr>
        <w:t>表面处理</w:t>
      </w:r>
      <w:bookmarkEnd w:id="3"/>
      <w:bookmarkEnd w:id="4"/>
      <w:bookmarkEnd w:id="5"/>
    </w:p>
    <w:p w:rsidR="00BD21CF" w:rsidRDefault="001F2104">
      <w:pPr>
        <w:pStyle w:val="205050505"/>
        <w:numPr>
          <w:ilvl w:val="2"/>
          <w:numId w:val="1"/>
        </w:numPr>
        <w:spacing w:beforeLines="0" w:afterLines="0" w:line="360" w:lineRule="auto"/>
        <w:jc w:val="both"/>
        <w:outlineLvl w:val="2"/>
        <w:rPr>
          <w:rFonts w:asciiTheme="minorEastAsia" w:hAnsiTheme="minorEastAsia"/>
          <w:b w:val="0"/>
          <w:sz w:val="28"/>
          <w:szCs w:val="28"/>
        </w:rPr>
      </w:pPr>
      <w:bookmarkStart w:id="6" w:name="_Toc438890323"/>
      <w:bookmarkStart w:id="7" w:name="_Toc439061847"/>
      <w:bookmarkStart w:id="8" w:name="_Toc438891765"/>
      <w:bookmarkStart w:id="9" w:name="_Toc438891390"/>
      <w:r>
        <w:rPr>
          <w:rFonts w:asciiTheme="minorEastAsia" w:hAnsiTheme="minorEastAsia" w:hint="eastAsia"/>
          <w:b w:val="0"/>
          <w:sz w:val="28"/>
          <w:szCs w:val="28"/>
        </w:rPr>
        <w:t>表面处理</w:t>
      </w:r>
      <w:bookmarkEnd w:id="6"/>
      <w:bookmarkEnd w:id="7"/>
      <w:bookmarkEnd w:id="8"/>
      <w:bookmarkEnd w:id="9"/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船体外板</w:t>
      </w:r>
      <w:r>
        <w:rPr>
          <w:rFonts w:asciiTheme="minorEastAsia" w:hAnsiTheme="minorEastAsia" w:cs="Arial" w:hint="eastAsia"/>
          <w:sz w:val="28"/>
          <w:szCs w:val="28"/>
        </w:rPr>
        <w:t>冲砂清洁达到</w:t>
      </w:r>
      <w:r>
        <w:rPr>
          <w:rFonts w:asciiTheme="minorEastAsia" w:hAnsiTheme="minorEastAsia" w:cs="Arial" w:hint="eastAsia"/>
          <w:sz w:val="28"/>
          <w:szCs w:val="28"/>
        </w:rPr>
        <w:t>表面无锈</w:t>
      </w:r>
      <w:r>
        <w:rPr>
          <w:rFonts w:asciiTheme="minorEastAsia" w:hAnsiTheme="minorEastAsia" w:cs="Arial" w:hint="eastAsia"/>
          <w:sz w:val="28"/>
          <w:szCs w:val="28"/>
        </w:rPr>
        <w:t>蚀</w:t>
      </w:r>
      <w:r>
        <w:rPr>
          <w:rFonts w:asciiTheme="minorEastAsia" w:hAnsiTheme="minorEastAsia" w:cs="Arial" w:hint="eastAsia"/>
          <w:sz w:val="28"/>
          <w:szCs w:val="28"/>
        </w:rPr>
        <w:t>，</w:t>
      </w:r>
      <w:r>
        <w:rPr>
          <w:rFonts w:asciiTheme="minorEastAsia" w:hAnsiTheme="minorEastAsia" w:cs="Arial" w:hint="eastAsia"/>
          <w:sz w:val="28"/>
          <w:szCs w:val="28"/>
        </w:rPr>
        <w:t>其余部位钢板无氧化层。舱</w:t>
      </w:r>
      <w:r>
        <w:rPr>
          <w:rFonts w:asciiTheme="minorEastAsia" w:hAnsiTheme="minorEastAsia" w:cs="Arial" w:hint="eastAsia"/>
          <w:sz w:val="28"/>
          <w:szCs w:val="28"/>
        </w:rPr>
        <w:lastRenderedPageBreak/>
        <w:t>内除锈采用手工除锈</w:t>
      </w:r>
      <w:r>
        <w:rPr>
          <w:rFonts w:asciiTheme="minorEastAsia" w:hAnsiTheme="minorEastAsia" w:cs="Arial" w:hint="eastAsia"/>
          <w:sz w:val="28"/>
          <w:szCs w:val="28"/>
        </w:rPr>
        <w:t>,</w:t>
      </w:r>
      <w:r>
        <w:rPr>
          <w:rFonts w:asciiTheme="minorEastAsia" w:hAnsiTheme="minorEastAsia" w:cs="Arial" w:hint="eastAsia"/>
          <w:sz w:val="28"/>
          <w:szCs w:val="28"/>
        </w:rPr>
        <w:t>舱内结构表面除锈后无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无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锈</w:t>
      </w:r>
      <w:r>
        <w:rPr>
          <w:rFonts w:asciiTheme="minorEastAsia" w:hAnsiTheme="minorEastAsia" w:cs="Arial" w:hint="eastAsia"/>
          <w:sz w:val="28"/>
          <w:szCs w:val="28"/>
        </w:rPr>
        <w:t>蚀</w:t>
      </w:r>
      <w:r>
        <w:rPr>
          <w:rFonts w:asciiTheme="minorEastAsia" w:hAnsiTheme="minorEastAsia" w:cs="Arial" w:hint="eastAsia"/>
          <w:sz w:val="28"/>
          <w:szCs w:val="28"/>
        </w:rPr>
        <w:t>，</w:t>
      </w:r>
      <w:r>
        <w:rPr>
          <w:rFonts w:asciiTheme="minorEastAsia" w:hAnsiTheme="minorEastAsia" w:cs="Arial" w:hint="eastAsia"/>
          <w:sz w:val="28"/>
          <w:szCs w:val="28"/>
        </w:rPr>
        <w:t>无氧化层、表面无明显灰尘及焊渣</w:t>
      </w:r>
      <w:r>
        <w:rPr>
          <w:rFonts w:asciiTheme="minorEastAsia" w:hAnsiTheme="minorEastAsia" w:cs="Arial" w:hint="eastAsia"/>
          <w:sz w:val="28"/>
          <w:szCs w:val="28"/>
        </w:rPr>
        <w:t>.</w:t>
      </w:r>
    </w:p>
    <w:p w:rsidR="00BD21CF" w:rsidRDefault="001F2104">
      <w:pPr>
        <w:pStyle w:val="205050505"/>
        <w:numPr>
          <w:ilvl w:val="2"/>
          <w:numId w:val="1"/>
        </w:numPr>
        <w:spacing w:beforeLines="0" w:afterLines="0" w:line="360" w:lineRule="auto"/>
        <w:jc w:val="both"/>
        <w:outlineLvl w:val="2"/>
        <w:rPr>
          <w:rFonts w:asciiTheme="minorEastAsia" w:hAnsiTheme="minorEastAsia"/>
          <w:b w:val="0"/>
          <w:sz w:val="28"/>
          <w:szCs w:val="28"/>
        </w:rPr>
      </w:pPr>
      <w:bookmarkStart w:id="10" w:name="_Toc438891767"/>
      <w:bookmarkStart w:id="11" w:name="_Toc438891392"/>
      <w:bookmarkStart w:id="12" w:name="_Toc438890325"/>
      <w:bookmarkStart w:id="13" w:name="_Toc439061849"/>
      <w:r>
        <w:rPr>
          <w:rFonts w:asciiTheme="minorEastAsia" w:hAnsiTheme="minorEastAsia" w:hint="eastAsia"/>
          <w:b w:val="0"/>
          <w:sz w:val="28"/>
          <w:szCs w:val="28"/>
        </w:rPr>
        <w:t>二次表面处理</w:t>
      </w:r>
      <w:bookmarkEnd w:id="10"/>
      <w:bookmarkEnd w:id="11"/>
      <w:bookmarkEnd w:id="12"/>
      <w:bookmarkEnd w:id="13"/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在分段阶段的表面处理，同样也可以运用在船台</w:t>
      </w:r>
      <w:r>
        <w:rPr>
          <w:rFonts w:asciiTheme="minorEastAsia" w:hAnsiTheme="minorEastAsia" w:cs="Arial" w:hint="eastAsia"/>
          <w:sz w:val="28"/>
          <w:szCs w:val="28"/>
        </w:rPr>
        <w:t>、</w:t>
      </w:r>
      <w:r>
        <w:rPr>
          <w:rFonts w:asciiTheme="minorEastAsia" w:hAnsiTheme="minorEastAsia" w:cs="Arial" w:hint="eastAsia"/>
          <w:sz w:val="28"/>
          <w:szCs w:val="28"/>
        </w:rPr>
        <w:t>码头</w:t>
      </w:r>
      <w:r>
        <w:rPr>
          <w:rFonts w:asciiTheme="minorEastAsia" w:hAnsiTheme="minorEastAsia" w:cs="Arial" w:hint="eastAsia"/>
          <w:sz w:val="28"/>
          <w:szCs w:val="28"/>
        </w:rPr>
        <w:t>、</w:t>
      </w:r>
      <w:r>
        <w:rPr>
          <w:rFonts w:asciiTheme="minorEastAsia" w:hAnsiTheme="minorEastAsia" w:cs="Arial" w:hint="eastAsia"/>
          <w:sz w:val="28"/>
          <w:szCs w:val="28"/>
        </w:rPr>
        <w:t>船坞阶段。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对燃油舱</w:t>
      </w:r>
      <w:r>
        <w:rPr>
          <w:rFonts w:asciiTheme="minorEastAsia" w:hAnsiTheme="minorEastAsia" w:cs="Arial" w:hint="eastAsia"/>
          <w:sz w:val="28"/>
          <w:szCs w:val="28"/>
        </w:rPr>
        <w:t>、</w:t>
      </w:r>
      <w:r>
        <w:rPr>
          <w:rFonts w:asciiTheme="minorEastAsia" w:hAnsiTheme="minorEastAsia" w:cs="Arial" w:hint="eastAsia"/>
          <w:sz w:val="28"/>
          <w:szCs w:val="28"/>
        </w:rPr>
        <w:t>柴油舱</w:t>
      </w:r>
      <w:r>
        <w:rPr>
          <w:rFonts w:asciiTheme="minorEastAsia" w:hAnsiTheme="minorEastAsia" w:cs="Arial" w:hint="eastAsia"/>
          <w:sz w:val="28"/>
          <w:szCs w:val="28"/>
        </w:rPr>
        <w:t>、</w:t>
      </w:r>
      <w:r>
        <w:rPr>
          <w:rFonts w:asciiTheme="minorEastAsia" w:hAnsiTheme="minorEastAsia" w:cs="Arial" w:hint="eastAsia"/>
          <w:sz w:val="28"/>
          <w:szCs w:val="28"/>
        </w:rPr>
        <w:t>滑油舱，可按工厂惯例不用处理车间底漆部位，但生锈区域和焊缝处，用钢丝刷</w:t>
      </w:r>
      <w:r>
        <w:rPr>
          <w:rFonts w:asciiTheme="minorEastAsia" w:hAnsiTheme="minorEastAsia" w:cs="Arial" w:hint="eastAsia"/>
          <w:sz w:val="28"/>
          <w:szCs w:val="28"/>
        </w:rPr>
        <w:t>或砂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盘</w:t>
      </w:r>
      <w:r>
        <w:rPr>
          <w:rFonts w:asciiTheme="minorEastAsia" w:hAnsiTheme="minorEastAsia" w:cs="Arial" w:hint="eastAsia"/>
          <w:sz w:val="28"/>
          <w:szCs w:val="28"/>
        </w:rPr>
        <w:t>处理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达到</w:t>
      </w:r>
      <w:r>
        <w:rPr>
          <w:rFonts w:asciiTheme="minorEastAsia" w:hAnsiTheme="minorEastAsia" w:cs="Arial" w:hint="eastAsia"/>
          <w:sz w:val="28"/>
          <w:szCs w:val="28"/>
        </w:rPr>
        <w:t>ISO</w:t>
      </w:r>
      <w:r>
        <w:rPr>
          <w:rFonts w:asciiTheme="minorEastAsia" w:hAnsiTheme="minorEastAsia" w:cs="Arial"/>
          <w:sz w:val="28"/>
          <w:szCs w:val="28"/>
        </w:rPr>
        <w:t xml:space="preserve"> ST</w:t>
      </w:r>
      <w:r>
        <w:rPr>
          <w:rFonts w:asciiTheme="minorEastAsia" w:hAnsiTheme="minorEastAsia" w:cs="Arial" w:hint="eastAsia"/>
          <w:sz w:val="28"/>
          <w:szCs w:val="28"/>
        </w:rPr>
        <w:t>3</w:t>
      </w:r>
      <w:r>
        <w:rPr>
          <w:rFonts w:asciiTheme="minorEastAsia" w:hAnsiTheme="minorEastAsia" w:cs="Arial" w:hint="eastAsia"/>
          <w:sz w:val="28"/>
          <w:szCs w:val="28"/>
        </w:rPr>
        <w:t>.0</w:t>
      </w:r>
      <w:r>
        <w:rPr>
          <w:rFonts w:asciiTheme="minorEastAsia" w:hAnsiTheme="minorEastAsia" w:cs="Arial" w:hint="eastAsia"/>
          <w:sz w:val="28"/>
          <w:szCs w:val="28"/>
        </w:rPr>
        <w:t>要求。</w:t>
      </w:r>
    </w:p>
    <w:p w:rsidR="00BD21CF" w:rsidRDefault="001F2104">
      <w:pPr>
        <w:pStyle w:val="205050505"/>
        <w:numPr>
          <w:ilvl w:val="2"/>
          <w:numId w:val="1"/>
        </w:numPr>
        <w:spacing w:beforeLines="0" w:afterLines="0" w:line="360" w:lineRule="auto"/>
        <w:jc w:val="both"/>
        <w:outlineLvl w:val="2"/>
        <w:rPr>
          <w:rFonts w:asciiTheme="minorEastAsia" w:hAnsiTheme="minorEastAsia"/>
          <w:b w:val="0"/>
          <w:sz w:val="28"/>
          <w:szCs w:val="28"/>
        </w:rPr>
      </w:pPr>
      <w:bookmarkStart w:id="14" w:name="_Toc438890326"/>
      <w:bookmarkStart w:id="15" w:name="_Toc438891393"/>
      <w:bookmarkStart w:id="16" w:name="_Toc438891768"/>
      <w:bookmarkStart w:id="17" w:name="_Toc439061850"/>
      <w:r>
        <w:rPr>
          <w:rFonts w:asciiTheme="minorEastAsia" w:hAnsiTheme="minorEastAsia" w:hint="eastAsia"/>
          <w:b w:val="0"/>
          <w:sz w:val="28"/>
          <w:szCs w:val="28"/>
        </w:rPr>
        <w:t>再涂漆之前的表面清洁</w:t>
      </w:r>
      <w:bookmarkEnd w:id="14"/>
      <w:bookmarkEnd w:id="15"/>
      <w:bookmarkEnd w:id="16"/>
      <w:bookmarkEnd w:id="17"/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在涂漆前，要对油漆表面的油、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水份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、灰尘和其它杂物，用稀释剂、淡水、钢丝刷或者干燥压缩空气来清洁。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但无论在钢表面使用那种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祛除污质的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方法，它都应不会降低表面的质量。</w:t>
      </w:r>
    </w:p>
    <w:p w:rsidR="00BD21CF" w:rsidRDefault="00BD21CF">
      <w:pPr>
        <w:ind w:leftChars="100" w:left="210"/>
        <w:rPr>
          <w:rFonts w:asciiTheme="minorEastAsia" w:hAnsiTheme="minorEastAsia" w:cs="Arial"/>
          <w:sz w:val="28"/>
          <w:szCs w:val="28"/>
        </w:rPr>
      </w:pPr>
    </w:p>
    <w:p w:rsidR="00BD21CF" w:rsidRDefault="001F2104">
      <w:pPr>
        <w:pStyle w:val="205050505"/>
        <w:numPr>
          <w:ilvl w:val="1"/>
          <w:numId w:val="1"/>
        </w:numPr>
        <w:spacing w:beforeLines="0" w:afterLines="0"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18" w:name="_Toc439061851"/>
      <w:bookmarkStart w:id="19" w:name="_Toc438890327"/>
      <w:bookmarkStart w:id="20" w:name="_Toc438891394"/>
      <w:r>
        <w:rPr>
          <w:rFonts w:asciiTheme="minorEastAsia" w:hAnsiTheme="minorEastAsia" w:hint="eastAsia"/>
          <w:sz w:val="28"/>
          <w:szCs w:val="28"/>
        </w:rPr>
        <w:t>油漆的使用</w:t>
      </w:r>
      <w:bookmarkEnd w:id="18"/>
      <w:bookmarkEnd w:id="19"/>
      <w:bookmarkEnd w:id="20"/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一般来说，油漆施工要使用无气喷涂。只有喷不到的部位，才可使用刷子或滚筒。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油漆的稀释和搅拌，油漆的间隔时间以及周围环境条件（如温度，湿度等）要依照油漆厂家的建议施工。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不能在潮湿的表面或者钢板表面温度低于露点下进行油漆施工。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下面油漆规格表中的规定的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油漆道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数和干膜厚度可以根据油漆厂家的标准规格进行变更，但要取得船东的认可。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 xml:space="preserve"> </w:t>
      </w:r>
      <w:r>
        <w:rPr>
          <w:rFonts w:asciiTheme="minorEastAsia" w:hAnsiTheme="minorEastAsia" w:cs="Arial" w:hint="eastAsia"/>
          <w:sz w:val="28"/>
          <w:szCs w:val="28"/>
        </w:rPr>
        <w:t>暴露的钢结构表面比如船壳、舱室、烟囱等，以及生活区域、</w:t>
      </w:r>
      <w:r>
        <w:rPr>
          <w:rFonts w:asciiTheme="minorEastAsia" w:hAnsiTheme="minorEastAsia" w:cs="Arial" w:hint="eastAsia"/>
          <w:sz w:val="28"/>
          <w:szCs w:val="28"/>
        </w:rPr>
        <w:lastRenderedPageBreak/>
        <w:t>走廊的油漆不应大面积有流挂现象。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油漆施工之后</w:t>
      </w:r>
      <w:r>
        <w:rPr>
          <w:rFonts w:asciiTheme="minorEastAsia" w:hAnsiTheme="minorEastAsia" w:cs="Arial"/>
          <w:sz w:val="28"/>
          <w:szCs w:val="28"/>
        </w:rPr>
        <w:t>,</w:t>
      </w:r>
      <w:r>
        <w:rPr>
          <w:rFonts w:asciiTheme="minorEastAsia" w:hAnsiTheme="minorEastAsia" w:cs="Arial" w:hint="eastAsia"/>
          <w:sz w:val="28"/>
          <w:szCs w:val="28"/>
        </w:rPr>
        <w:t>油漆层被损坏的地方要及时修补</w:t>
      </w:r>
      <w:r>
        <w:rPr>
          <w:rFonts w:asciiTheme="minorEastAsia" w:hAnsiTheme="minorEastAsia" w:cs="Arial"/>
          <w:sz w:val="28"/>
          <w:szCs w:val="28"/>
        </w:rPr>
        <w:t xml:space="preserve">. </w:t>
      </w:r>
      <w:r>
        <w:rPr>
          <w:rFonts w:asciiTheme="minorEastAsia" w:hAnsiTheme="minorEastAsia" w:cs="Arial" w:hint="eastAsia"/>
          <w:sz w:val="28"/>
          <w:szCs w:val="28"/>
        </w:rPr>
        <w:t>当钢结构表面损坏或出现生锈</w:t>
      </w:r>
      <w:r>
        <w:rPr>
          <w:rFonts w:asciiTheme="minorEastAsia" w:hAnsiTheme="minorEastAsia" w:cs="Arial"/>
          <w:sz w:val="28"/>
          <w:szCs w:val="28"/>
        </w:rPr>
        <w:t>,</w:t>
      </w:r>
      <w:r>
        <w:rPr>
          <w:rFonts w:asciiTheme="minorEastAsia" w:hAnsiTheme="minorEastAsia" w:cs="Arial" w:hint="eastAsia"/>
          <w:sz w:val="28"/>
          <w:szCs w:val="28"/>
        </w:rPr>
        <w:t>表面需要用金属刷清洁或者打磨并涂上原来指定的油漆。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当油漆损坏未达到钢结构表面，油漆表面可以通过修补达到规定的干膜厚度要求。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一般来说，在密性试验之前钢结构表面包括所有的焊缝都需要做油漆。但是，对分舱边界的填角焊和大接头，应在这些接头焊缝被压缩空气</w:t>
      </w:r>
      <w:r>
        <w:rPr>
          <w:rFonts w:asciiTheme="minorEastAsia" w:hAnsiTheme="minorEastAsia" w:cs="Arial" w:hint="eastAsia"/>
          <w:sz w:val="28"/>
          <w:szCs w:val="28"/>
        </w:rPr>
        <w:t>试验或真空罩或整舱压气试验检查之后，再进行油漆。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船体分段的预装配接头不管任何位置，在密性试验前可以进行油漆，不需要被看作是分段大接缝。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未做密性试验的密性焊缝在涂装以前，用胶带来保护，以免被周围油漆所污染，油漆完工后，将胶带去除，并涂车间底漆进行保护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如果第一道油漆没有底漆性能，那么在裸钢板上应先涂底漆。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所有水下部位的压载舱的大接缝和水下的舱，在下水之前需要完成油漆工作。</w:t>
      </w:r>
    </w:p>
    <w:p w:rsidR="00BD21CF" w:rsidRDefault="001F2104">
      <w:pPr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预涂装：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对以下船体部位用刷涂或滚涂进行预涂装：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尖角，通过气体或者等离子切割的自由边，拐角处，全部焊缝处，切割边和狭窄的表面，喷漆</w:t>
      </w:r>
      <w:r>
        <w:rPr>
          <w:rFonts w:asciiTheme="minorEastAsia" w:hAnsiTheme="minorEastAsia" w:cs="Arial" w:hint="eastAsia"/>
          <w:sz w:val="28"/>
          <w:szCs w:val="28"/>
        </w:rPr>
        <w:t>死角，小孔如切口、扇形孔、流水孔，结构件的切割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自由边拐角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处，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填脚焊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，开孔，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在舱的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边缘，扶强材的端部在全部的舱、舱口盖、舱口围、甲板、甲板设备、外壳、底部、干</w:t>
      </w:r>
      <w:r>
        <w:rPr>
          <w:rFonts w:asciiTheme="minorEastAsia" w:hAnsiTheme="minorEastAsia" w:cs="Arial" w:hint="eastAsia"/>
          <w:sz w:val="28"/>
          <w:szCs w:val="28"/>
        </w:rPr>
        <w:lastRenderedPageBreak/>
        <w:t>舷、船尾、船首、球型物、上层建筑、桅杆、梯道、在舱内的走道和露天甲板和其它必需的相似区域。</w:t>
      </w:r>
    </w:p>
    <w:p w:rsidR="00BD21CF" w:rsidRDefault="00BD21CF">
      <w:pPr>
        <w:ind w:leftChars="100" w:left="210"/>
        <w:rPr>
          <w:rFonts w:asciiTheme="minorEastAsia" w:hAnsiTheme="minorEastAsia" w:cs="Arial"/>
          <w:sz w:val="28"/>
          <w:szCs w:val="28"/>
        </w:rPr>
      </w:pPr>
    </w:p>
    <w:p w:rsidR="00BD21CF" w:rsidRDefault="001F2104">
      <w:pPr>
        <w:pStyle w:val="205050505"/>
        <w:numPr>
          <w:ilvl w:val="1"/>
          <w:numId w:val="1"/>
        </w:numPr>
        <w:spacing w:beforeLines="0" w:afterLines="0"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21" w:name="_Toc438891395"/>
      <w:bookmarkStart w:id="22" w:name="_Toc438890328"/>
      <w:bookmarkStart w:id="23" w:name="_Toc439061852"/>
      <w:r>
        <w:rPr>
          <w:rFonts w:asciiTheme="minorEastAsia" w:hAnsiTheme="minorEastAsia" w:hint="eastAsia"/>
          <w:sz w:val="28"/>
          <w:szCs w:val="28"/>
        </w:rPr>
        <w:t>干膜厚度测量要求</w:t>
      </w:r>
      <w:bookmarkEnd w:id="21"/>
      <w:bookmarkEnd w:id="22"/>
      <w:bookmarkEnd w:id="23"/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每度油漆后要测量干膜厚度来确认足够的干膜厚度。厚度测量点要足够并均匀分布在测量区域内。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外板和露天部位的干膜厚度。每</w:t>
      </w:r>
      <w:r>
        <w:rPr>
          <w:rFonts w:asciiTheme="minorEastAsia" w:hAnsiTheme="minorEastAsia" w:cs="Arial"/>
          <w:sz w:val="28"/>
          <w:szCs w:val="28"/>
        </w:rPr>
        <w:t xml:space="preserve">8 </w:t>
      </w:r>
      <w:r>
        <w:rPr>
          <w:rFonts w:asciiTheme="minorEastAsia" w:hAnsiTheme="minorEastAsia" w:cs="Arial" w:hint="eastAsia"/>
          <w:sz w:val="28"/>
          <w:szCs w:val="28"/>
        </w:rPr>
        <w:t>㎡左右检测一点，对压载舱和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淡水舱每</w:t>
      </w:r>
      <w:proofErr w:type="gramEnd"/>
      <w:r>
        <w:rPr>
          <w:rFonts w:asciiTheme="minorEastAsia" w:hAnsiTheme="minorEastAsia" w:cs="Arial"/>
          <w:sz w:val="28"/>
          <w:szCs w:val="28"/>
        </w:rPr>
        <w:t xml:space="preserve">6 </w:t>
      </w:r>
      <w:r>
        <w:rPr>
          <w:rFonts w:asciiTheme="minorEastAsia" w:hAnsiTheme="minorEastAsia" w:cs="Arial" w:hint="eastAsia"/>
          <w:sz w:val="28"/>
          <w:szCs w:val="28"/>
        </w:rPr>
        <w:t>㎡检测一点，以上没有涉及的部位，每</w:t>
      </w:r>
      <w:r>
        <w:rPr>
          <w:rFonts w:asciiTheme="minorEastAsia" w:hAnsiTheme="minorEastAsia" w:cs="Arial"/>
          <w:sz w:val="28"/>
          <w:szCs w:val="28"/>
        </w:rPr>
        <w:t xml:space="preserve">12 </w:t>
      </w:r>
      <w:r>
        <w:rPr>
          <w:rFonts w:asciiTheme="minorEastAsia" w:hAnsiTheme="minorEastAsia" w:cs="Arial" w:hint="eastAsia"/>
          <w:sz w:val="28"/>
          <w:szCs w:val="28"/>
        </w:rPr>
        <w:t>㎡检测一点</w:t>
      </w:r>
      <w:r>
        <w:rPr>
          <w:rFonts w:asciiTheme="minorEastAsia" w:hAnsiTheme="minorEastAsia" w:cs="Arial" w:hint="eastAsia"/>
          <w:sz w:val="28"/>
          <w:szCs w:val="28"/>
        </w:rPr>
        <w:t>(</w:t>
      </w:r>
      <w:r>
        <w:rPr>
          <w:rFonts w:asciiTheme="minorEastAsia" w:hAnsiTheme="minorEastAsia" w:cs="Arial" w:hint="eastAsia"/>
          <w:sz w:val="28"/>
          <w:szCs w:val="28"/>
        </w:rPr>
        <w:t>允许负偏差</w:t>
      </w:r>
      <w:r>
        <w:rPr>
          <w:rFonts w:asciiTheme="minorEastAsia" w:hAnsiTheme="minorEastAsia" w:cs="Arial" w:hint="eastAsia"/>
          <w:sz w:val="28"/>
          <w:szCs w:val="28"/>
        </w:rPr>
        <w:t>15%)</w:t>
      </w:r>
      <w:r>
        <w:rPr>
          <w:rFonts w:asciiTheme="minorEastAsia" w:hAnsiTheme="minorEastAsia" w:cs="Arial" w:hint="eastAsia"/>
          <w:sz w:val="28"/>
          <w:szCs w:val="28"/>
        </w:rPr>
        <w:t>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膜厚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标准按涂装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规格书要求，且</w:t>
      </w:r>
      <w:r>
        <w:rPr>
          <w:rFonts w:asciiTheme="minorEastAsia" w:hAnsiTheme="minorEastAsia" w:cs="Arial" w:hint="eastAsia"/>
          <w:sz w:val="28"/>
          <w:szCs w:val="28"/>
        </w:rPr>
        <w:t>85</w:t>
      </w:r>
      <w:r>
        <w:rPr>
          <w:rFonts w:asciiTheme="minorEastAsia" w:hAnsiTheme="minorEastAsia" w:cs="Arial"/>
          <w:sz w:val="28"/>
          <w:szCs w:val="28"/>
        </w:rPr>
        <w:t>%</w:t>
      </w:r>
      <w:r>
        <w:rPr>
          <w:rFonts w:asciiTheme="minorEastAsia" w:hAnsiTheme="minorEastAsia" w:cs="Arial" w:hint="eastAsia"/>
          <w:sz w:val="28"/>
          <w:szCs w:val="28"/>
        </w:rPr>
        <w:t>以上的检测点应达到标准的膜厚以上，其余</w:t>
      </w:r>
      <w:r>
        <w:rPr>
          <w:rFonts w:asciiTheme="minorEastAsia" w:hAnsiTheme="minorEastAsia" w:cs="Arial"/>
          <w:sz w:val="28"/>
          <w:szCs w:val="28"/>
        </w:rPr>
        <w:t>1</w:t>
      </w:r>
      <w:r>
        <w:rPr>
          <w:rFonts w:asciiTheme="minorEastAsia" w:hAnsiTheme="minorEastAsia" w:cs="Arial" w:hint="eastAsia"/>
          <w:sz w:val="28"/>
          <w:szCs w:val="28"/>
        </w:rPr>
        <w:t>5</w:t>
      </w:r>
      <w:r>
        <w:rPr>
          <w:rFonts w:asciiTheme="minorEastAsia" w:hAnsiTheme="minorEastAsia" w:cs="Arial"/>
          <w:sz w:val="28"/>
          <w:szCs w:val="28"/>
        </w:rPr>
        <w:t>%</w:t>
      </w:r>
      <w:r>
        <w:rPr>
          <w:rFonts w:asciiTheme="minorEastAsia" w:hAnsiTheme="minorEastAsia" w:cs="Arial" w:hint="eastAsia"/>
          <w:sz w:val="28"/>
          <w:szCs w:val="28"/>
        </w:rPr>
        <w:t>检测点的膜厚应达到配套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表要求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标准的膜厚的</w:t>
      </w:r>
      <w:r>
        <w:rPr>
          <w:rFonts w:asciiTheme="minorEastAsia" w:hAnsiTheme="minorEastAsia" w:cs="Arial" w:hint="eastAsia"/>
          <w:sz w:val="28"/>
          <w:szCs w:val="28"/>
        </w:rPr>
        <w:t>85</w:t>
      </w:r>
      <w:r>
        <w:rPr>
          <w:rFonts w:asciiTheme="minorEastAsia" w:hAnsiTheme="minorEastAsia" w:cs="Arial"/>
          <w:sz w:val="28"/>
          <w:szCs w:val="28"/>
        </w:rPr>
        <w:t>%</w:t>
      </w:r>
      <w:r>
        <w:rPr>
          <w:rFonts w:asciiTheme="minorEastAsia" w:hAnsiTheme="minorEastAsia" w:cs="Arial" w:hint="eastAsia"/>
          <w:sz w:val="28"/>
          <w:szCs w:val="28"/>
        </w:rPr>
        <w:t>以上。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对压载舱和货舱区域，船东代表可以在全部油漆施工之后检测干膜厚度。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干膜厚度检测应使用经船东认可的专用仪器。</w:t>
      </w:r>
    </w:p>
    <w:p w:rsidR="00BD21CF" w:rsidRDefault="00BD21CF">
      <w:pPr>
        <w:ind w:leftChars="100" w:left="210"/>
        <w:rPr>
          <w:rFonts w:asciiTheme="minorEastAsia" w:hAnsiTheme="minorEastAsia" w:cs="Arial"/>
          <w:sz w:val="28"/>
          <w:szCs w:val="28"/>
        </w:rPr>
      </w:pPr>
    </w:p>
    <w:p w:rsidR="00BD21CF" w:rsidRDefault="001F2104">
      <w:pPr>
        <w:pStyle w:val="205050505"/>
        <w:numPr>
          <w:ilvl w:val="1"/>
          <w:numId w:val="1"/>
        </w:numPr>
        <w:spacing w:beforeLines="0" w:afterLines="0"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24" w:name="_Toc438890329"/>
      <w:bookmarkStart w:id="25" w:name="_Toc439061853"/>
      <w:bookmarkStart w:id="26" w:name="_Toc438891396"/>
      <w:r>
        <w:rPr>
          <w:rFonts w:asciiTheme="minorEastAsia" w:hAnsiTheme="minorEastAsia" w:hint="eastAsia"/>
          <w:sz w:val="28"/>
          <w:szCs w:val="28"/>
        </w:rPr>
        <w:t>检查要求</w:t>
      </w:r>
      <w:bookmarkEnd w:id="24"/>
      <w:bookmarkEnd w:id="25"/>
      <w:bookmarkEnd w:id="26"/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外壳的表面处理需要检查，外壳水线以下区域的干膜厚度的检验分两个步骤，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底漆干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膜厚度的检验，水线以上区域检测总干膜厚度，干膜厚度检查由船厂人员和船东代表抽查。</w:t>
      </w:r>
    </w:p>
    <w:p w:rsidR="00BD21CF" w:rsidRDefault="00BD21CF">
      <w:pPr>
        <w:ind w:leftChars="100" w:left="210"/>
        <w:rPr>
          <w:rFonts w:asciiTheme="minorEastAsia" w:hAnsiTheme="minorEastAsia" w:cs="宋体"/>
          <w:kern w:val="0"/>
          <w:sz w:val="28"/>
          <w:szCs w:val="28"/>
        </w:rPr>
      </w:pPr>
    </w:p>
    <w:p w:rsidR="00BD21CF" w:rsidRDefault="001F2104">
      <w:pPr>
        <w:pStyle w:val="205050505"/>
        <w:numPr>
          <w:ilvl w:val="1"/>
          <w:numId w:val="1"/>
        </w:numPr>
        <w:spacing w:beforeLines="0" w:afterLines="0"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27" w:name="_Toc438891397"/>
      <w:bookmarkStart w:id="28" w:name="_Toc439061854"/>
      <w:bookmarkStart w:id="29" w:name="_Toc438890330"/>
      <w:r>
        <w:rPr>
          <w:rFonts w:asciiTheme="minorEastAsia" w:hAnsiTheme="minorEastAsia" w:hint="eastAsia"/>
          <w:sz w:val="28"/>
          <w:szCs w:val="28"/>
        </w:rPr>
        <w:lastRenderedPageBreak/>
        <w:t>油漆的配套</w:t>
      </w:r>
      <w:bookmarkEnd w:id="27"/>
      <w:bookmarkEnd w:id="28"/>
      <w:bookmarkEnd w:id="29"/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油漆配套按照规格表。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544"/>
        <w:gridCol w:w="1134"/>
        <w:gridCol w:w="709"/>
        <w:gridCol w:w="1276"/>
      </w:tblGrid>
      <w:tr w:rsidR="00BD21CF">
        <w:trPr>
          <w:trHeight w:val="420"/>
        </w:trPr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21CF" w:rsidRDefault="00BD21CF">
            <w:pPr>
              <w:widowControl/>
              <w:jc w:val="center"/>
              <w:rPr>
                <w:rFonts w:ascii="宋体" w:eastAsia="宋体" w:hAnsi="宋体" w:cs="Arial"/>
                <w:kern w:val="0"/>
                <w:sz w:val="36"/>
                <w:szCs w:val="36"/>
              </w:rPr>
            </w:pPr>
          </w:p>
        </w:tc>
      </w:tr>
      <w:tr w:rsidR="00BD21CF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涂装部位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涂料名称型号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道数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干膜厚度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μ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m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、轻载水线以下船底部位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铁红环氧底漆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125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灰环氧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125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、轻载水线以上至重载水线以下船壳部位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铁红环氧底漆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灰环氧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可覆涂丙烯酸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聚氨酯面漆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可覆涂丙烯酸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聚氨酯面漆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、重载水线以上甲板部位、货舱外围壁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铁红环氧底漆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灰环氧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色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可覆涂丙烯酸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聚氨酯面漆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可覆涂丙烯酸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聚氨酯面漆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、甲板部位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含室内房间裙边位置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铁红环氧底漆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灰环氧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绿色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可覆涂丙烯酸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聚氨酯面漆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绿色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可覆涂丙烯酸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聚氨酯面漆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、压载舱部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铁红环氧底漆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125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灰环氧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125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、饮水舱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环氧饮水舱漆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环氧饮水舱漆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100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、货舱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红丹油性防锈漆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铁红醇酸面漆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铁红醇酸面漆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、内部空舱及机舱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红丹油性防锈漆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各色醇酸面漆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、燃油舱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防锈油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、上建内部有装饰部位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红丹油性防锈漆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红丹油性防锈漆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、上建内部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无装饰部位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红丹油性防锈漆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各色醇酸磁漆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各色醇酸磁漆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、上建外部及舾装部位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红丹油性防锈漆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红丹油性防锈漆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各色醇酸磁漆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各色磁漆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、其它预制件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底漆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红丹油性防锈漆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醇酸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调和漆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F" w:rsidRDefault="00BD21C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各色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醇酸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调和漆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双虎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CF" w:rsidRDefault="001F210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BD21CF">
        <w:trPr>
          <w:trHeight w:val="402"/>
        </w:trPr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1CF" w:rsidRDefault="001F210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备注：面漆颜色待船东确定后使用。</w:t>
            </w:r>
          </w:p>
        </w:tc>
      </w:tr>
    </w:tbl>
    <w:p w:rsidR="00BD21CF" w:rsidRDefault="001F2104" w:rsidP="009377D1">
      <w:pPr>
        <w:ind w:leftChars="-135" w:left="-283" w:firstLineChars="100" w:firstLine="28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在油漆规格表中未涉及到的部位，按与周围环境或与可比较空间相似的原则处理。</w:t>
      </w:r>
    </w:p>
    <w:p w:rsidR="00BD21CF" w:rsidRDefault="001F2104" w:rsidP="009377D1">
      <w:pPr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根据油漆厂家推荐并且船东认可，油漆配套可以改变。</w:t>
      </w:r>
    </w:p>
    <w:p w:rsidR="00BD21CF" w:rsidRDefault="001F2104" w:rsidP="009377D1">
      <w:pPr>
        <w:jc w:val="left"/>
        <w:rPr>
          <w:rFonts w:asciiTheme="minorEastAsia" w:hAnsiTheme="minorEastAsia" w:cs="Arial"/>
          <w:sz w:val="28"/>
          <w:szCs w:val="28"/>
        </w:rPr>
      </w:pPr>
      <w:bookmarkStart w:id="30" w:name="_GoBack"/>
      <w:bookmarkEnd w:id="30"/>
      <w:r>
        <w:rPr>
          <w:rFonts w:asciiTheme="minorEastAsia" w:hAnsiTheme="minorEastAsia" w:cs="Arial" w:hint="eastAsia"/>
          <w:sz w:val="28"/>
          <w:szCs w:val="28"/>
        </w:rPr>
        <w:t>在油漆规格表中，油漆产品名称和总的干膜厚度根据油漆厂家建议。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 xml:space="preserve">               </w:t>
      </w:r>
      <w:r>
        <w:rPr>
          <w:rFonts w:asciiTheme="minorEastAsia" w:hAnsiTheme="minorEastAsia" w:cs="Arial" w:hint="eastAsia"/>
          <w:sz w:val="28"/>
          <w:szCs w:val="28"/>
        </w:rPr>
        <w:t>船东认可的油漆色卡号</w:t>
      </w:r>
      <w:r>
        <w:rPr>
          <w:rFonts w:asciiTheme="minorEastAsia" w:hAnsiTheme="minorEastAsia" w:cs="Arial" w:hint="eastAsia"/>
          <w:sz w:val="28"/>
          <w:szCs w:val="28"/>
        </w:rPr>
        <w:t xml:space="preserve">  </w:t>
      </w:r>
    </w:p>
    <w:tbl>
      <w:tblPr>
        <w:tblW w:w="894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598"/>
        <w:gridCol w:w="1034"/>
        <w:gridCol w:w="872"/>
        <w:gridCol w:w="1858"/>
        <w:gridCol w:w="1852"/>
      </w:tblGrid>
      <w:tr w:rsidR="00BD21CF">
        <w:trPr>
          <w:trHeight w:val="1134"/>
        </w:trPr>
        <w:tc>
          <w:tcPr>
            <w:tcW w:w="727" w:type="dxa"/>
          </w:tcPr>
          <w:p w:rsidR="00BD21CF" w:rsidRDefault="001F2104">
            <w:r>
              <w:rPr>
                <w:rFonts w:hint="eastAsia"/>
              </w:rPr>
              <w:t>序号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部位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颜色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色标代号</w:t>
            </w:r>
          </w:p>
        </w:tc>
        <w:tc>
          <w:tcPr>
            <w:tcW w:w="1858" w:type="dxa"/>
          </w:tcPr>
          <w:p w:rsidR="00BD21CF" w:rsidRDefault="001F2104">
            <w:pPr>
              <w:snapToGrid w:val="0"/>
            </w:pPr>
            <w:r>
              <w:rPr>
                <w:rFonts w:hint="eastAsia"/>
              </w:rPr>
              <w:t>备注</w:t>
            </w:r>
          </w:p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rPr>
                <w:rFonts w:hint="eastAsia"/>
              </w:rPr>
              <w:t>1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轻</w:t>
            </w:r>
            <w:r>
              <w:t>载水线至集装箱载</w:t>
            </w:r>
            <w:r>
              <w:rPr>
                <w:rFonts w:hint="eastAsia"/>
              </w:rPr>
              <w:t>重水线间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紫红色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R04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2</w:t>
            </w:r>
          </w:p>
        </w:tc>
        <w:tc>
          <w:tcPr>
            <w:tcW w:w="2598" w:type="dxa"/>
          </w:tcPr>
          <w:p w:rsidR="00BD21CF" w:rsidRDefault="001F2104">
            <w:r>
              <w:t>集装箱载重线与散货载重线间</w:t>
            </w:r>
          </w:p>
        </w:tc>
        <w:tc>
          <w:tcPr>
            <w:tcW w:w="1034" w:type="dxa"/>
          </w:tcPr>
          <w:p w:rsidR="00BD21CF" w:rsidRDefault="001F2104">
            <w:r>
              <w:t>玫瑰红</w:t>
            </w:r>
          </w:p>
        </w:tc>
        <w:tc>
          <w:tcPr>
            <w:tcW w:w="872" w:type="dxa"/>
          </w:tcPr>
          <w:p w:rsidR="00BD21CF" w:rsidRDefault="001F2104">
            <w:r>
              <w:t>RP03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3</w:t>
            </w:r>
          </w:p>
        </w:tc>
        <w:tc>
          <w:tcPr>
            <w:tcW w:w="2598" w:type="dxa"/>
          </w:tcPr>
          <w:p w:rsidR="00BD21CF" w:rsidRDefault="001F2104">
            <w:r>
              <w:t>货舱底板</w:t>
            </w:r>
            <w:proofErr w:type="gramStart"/>
            <w:r>
              <w:t>及围壁</w:t>
            </w:r>
            <w:proofErr w:type="gramEnd"/>
            <w:r>
              <w:t>外表面和货舱围板内表面</w:t>
            </w:r>
          </w:p>
        </w:tc>
        <w:tc>
          <w:tcPr>
            <w:tcW w:w="1034" w:type="dxa"/>
          </w:tcPr>
          <w:p w:rsidR="00BD21CF" w:rsidRDefault="001F2104">
            <w:proofErr w:type="gramStart"/>
            <w:r>
              <w:t>海灰</w:t>
            </w:r>
            <w:proofErr w:type="gramEnd"/>
          </w:p>
        </w:tc>
        <w:tc>
          <w:tcPr>
            <w:tcW w:w="872" w:type="dxa"/>
          </w:tcPr>
          <w:p w:rsidR="00BD21CF" w:rsidRDefault="001F2104">
            <w:r>
              <w:t>B05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4</w:t>
            </w:r>
          </w:p>
        </w:tc>
        <w:tc>
          <w:tcPr>
            <w:tcW w:w="2598" w:type="dxa"/>
          </w:tcPr>
          <w:p w:rsidR="00BD21CF" w:rsidRDefault="001F2104">
            <w:r>
              <w:t>散货</w:t>
            </w:r>
            <w:r>
              <w:rPr>
                <w:rFonts w:hint="eastAsia"/>
              </w:rPr>
              <w:t>载水线以上外板（含</w:t>
            </w:r>
            <w:r>
              <w:t>货舱围板和顶板外表面、</w:t>
            </w:r>
            <w:r>
              <w:rPr>
                <w:rFonts w:hint="eastAsia"/>
              </w:rPr>
              <w:t>上建</w:t>
            </w:r>
            <w:proofErr w:type="gramStart"/>
            <w:r>
              <w:rPr>
                <w:rFonts w:hint="eastAsia"/>
              </w:rPr>
              <w:t>各层吊檐外表面</w:t>
            </w:r>
            <w:proofErr w:type="gramEnd"/>
            <w:r>
              <w:rPr>
                <w:rFonts w:hint="eastAsia"/>
              </w:rPr>
              <w:t>、护舷）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米黄色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Y12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5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各层甲板（含空舱及工作舱室甲板、花钢板）上表面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淡绿色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G02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6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首部生活区望天（甲板下表面）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淡（</w:t>
            </w:r>
            <w:proofErr w:type="gramStart"/>
            <w:r>
              <w:rPr>
                <w:rFonts w:hint="eastAsia"/>
              </w:rPr>
              <w:t>酞</w:t>
            </w:r>
            <w:proofErr w:type="gramEnd"/>
            <w:r>
              <w:rPr>
                <w:rFonts w:hint="eastAsia"/>
              </w:rPr>
              <w:t>）蓝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PB06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7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除上述第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项外，其余各层甲板望天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白色</w:t>
            </w:r>
          </w:p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lastRenderedPageBreak/>
              <w:t>8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机舱、舵机舱、首泵舱舷</w:t>
            </w:r>
            <w:proofErr w:type="gramStart"/>
            <w:r>
              <w:rPr>
                <w:rFonts w:hint="eastAsia"/>
              </w:rPr>
              <w:t>侧及望天</w:t>
            </w:r>
            <w:proofErr w:type="gramEnd"/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白色</w:t>
            </w:r>
          </w:p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9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空舱、电瓶间、</w:t>
            </w:r>
            <w:r>
              <w:rPr>
                <w:rFonts w:hint="eastAsia"/>
              </w:rPr>
              <w:t>CO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间、帆缆间、卫生间、浴室、厨房舷</w:t>
            </w:r>
            <w:proofErr w:type="gramStart"/>
            <w:r>
              <w:rPr>
                <w:rFonts w:hint="eastAsia"/>
              </w:rPr>
              <w:t>侧及望天</w:t>
            </w:r>
            <w:proofErr w:type="gramEnd"/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白色</w:t>
            </w:r>
          </w:p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1F2104">
            <w:r>
              <w:rPr>
                <w:rFonts w:hint="eastAsia"/>
              </w:rPr>
              <w:t>非装修部位，不含甲板</w:t>
            </w:r>
          </w:p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10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首尾桅杆、首旗杆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米黄色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Y12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11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栏杆、</w:t>
            </w:r>
            <w:proofErr w:type="gramStart"/>
            <w:r>
              <w:rPr>
                <w:rFonts w:hint="eastAsia"/>
              </w:rPr>
              <w:t>艉</w:t>
            </w:r>
            <w:proofErr w:type="gramEnd"/>
            <w:r>
              <w:rPr>
                <w:rFonts w:hint="eastAsia"/>
              </w:rPr>
              <w:t>旗杆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白色</w:t>
            </w:r>
          </w:p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12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船名、船籍港、舷</w:t>
            </w:r>
            <w:proofErr w:type="gramStart"/>
            <w:r>
              <w:rPr>
                <w:rFonts w:hint="eastAsia"/>
              </w:rPr>
              <w:t>侧公司</w:t>
            </w:r>
            <w:proofErr w:type="gramEnd"/>
            <w:r>
              <w:rPr>
                <w:rFonts w:hint="eastAsia"/>
              </w:rPr>
              <w:t>标志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大红</w:t>
            </w:r>
          </w:p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13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民生徽</w:t>
            </w:r>
          </w:p>
        </w:tc>
        <w:tc>
          <w:tcPr>
            <w:tcW w:w="1034" w:type="dxa"/>
          </w:tcPr>
          <w:p w:rsidR="00BD21CF" w:rsidRDefault="00BD21CF"/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1F2104">
            <w:r>
              <w:rPr>
                <w:rFonts w:hint="eastAsia"/>
              </w:rPr>
              <w:t>按图</w:t>
            </w:r>
          </w:p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14</w:t>
            </w:r>
          </w:p>
        </w:tc>
        <w:tc>
          <w:tcPr>
            <w:tcW w:w="2598" w:type="dxa"/>
          </w:tcPr>
          <w:p w:rsidR="00BD21CF" w:rsidRDefault="001F2104">
            <w:proofErr w:type="gramStart"/>
            <w:r>
              <w:rPr>
                <w:rFonts w:hint="eastAsia"/>
              </w:rPr>
              <w:t>球鼻首</w:t>
            </w:r>
            <w:proofErr w:type="gramEnd"/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黑色</w:t>
            </w:r>
          </w:p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15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首部系泊区舷墙内侧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米黄色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Y12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16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上层建筑及</w:t>
            </w:r>
            <w:proofErr w:type="gramStart"/>
            <w:r>
              <w:rPr>
                <w:rFonts w:hint="eastAsia"/>
              </w:rPr>
              <w:t>甲板室围壁外表面</w:t>
            </w:r>
            <w:proofErr w:type="gramEnd"/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白色</w:t>
            </w:r>
          </w:p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17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甲板限界线及消防通道、梯坎（含甲板升高）边缘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中黄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Y07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18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限高、海事认证标志（安全、环保、健康等）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艳绿色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G03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rPr>
                <w:rFonts w:hint="eastAsia"/>
              </w:rPr>
              <w:t>19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警示标志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大红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R03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rPr>
          <w:trHeight w:val="386"/>
        </w:trPr>
        <w:tc>
          <w:tcPr>
            <w:tcW w:w="727" w:type="dxa"/>
          </w:tcPr>
          <w:p w:rsidR="00BD21CF" w:rsidRDefault="001F2104">
            <w:r>
              <w:rPr>
                <w:rFonts w:hint="eastAsia"/>
              </w:rPr>
              <w:t>20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清水舱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白色</w:t>
            </w:r>
          </w:p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rPr>
          <w:trHeight w:val="298"/>
        </w:trPr>
        <w:tc>
          <w:tcPr>
            <w:tcW w:w="727" w:type="dxa"/>
          </w:tcPr>
          <w:p w:rsidR="00BD21CF" w:rsidRDefault="001F2104">
            <w:r>
              <w:t>21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风筒及帽（不含油舱等有颜色要求的透气管及帽）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米黄色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Y12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22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信号及航行设备座（如天线及雷达座）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米黄色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Y12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23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甲板机械座</w:t>
            </w:r>
          </w:p>
        </w:tc>
        <w:tc>
          <w:tcPr>
            <w:tcW w:w="1034" w:type="dxa"/>
          </w:tcPr>
          <w:p w:rsidR="00BD21CF" w:rsidRDefault="001F2104">
            <w:r>
              <w:rPr>
                <w:rFonts w:hint="eastAsia"/>
              </w:rPr>
              <w:t>淡绿色</w:t>
            </w:r>
          </w:p>
        </w:tc>
        <w:tc>
          <w:tcPr>
            <w:tcW w:w="872" w:type="dxa"/>
          </w:tcPr>
          <w:p w:rsidR="00BD21CF" w:rsidRDefault="001F2104">
            <w:r>
              <w:rPr>
                <w:rFonts w:hint="eastAsia"/>
              </w:rPr>
              <w:t>G02</w:t>
            </w:r>
          </w:p>
        </w:tc>
        <w:tc>
          <w:tcPr>
            <w:tcW w:w="1858" w:type="dxa"/>
          </w:tcPr>
          <w:p w:rsidR="00BD21CF" w:rsidRDefault="00BD21CF"/>
        </w:tc>
        <w:tc>
          <w:tcPr>
            <w:tcW w:w="1852" w:type="dxa"/>
          </w:tcPr>
          <w:p w:rsidR="00BD21CF" w:rsidRDefault="00BD21CF"/>
        </w:tc>
      </w:tr>
      <w:tr w:rsidR="00BD21CF">
        <w:tc>
          <w:tcPr>
            <w:tcW w:w="727" w:type="dxa"/>
          </w:tcPr>
          <w:p w:rsidR="00BD21CF" w:rsidRDefault="001F2104">
            <w:r>
              <w:t>24</w:t>
            </w:r>
          </w:p>
        </w:tc>
        <w:tc>
          <w:tcPr>
            <w:tcW w:w="2598" w:type="dxa"/>
          </w:tcPr>
          <w:p w:rsidR="00BD21CF" w:rsidRDefault="001F2104">
            <w:r>
              <w:rPr>
                <w:rFonts w:hint="eastAsia"/>
              </w:rPr>
              <w:t>消防管</w:t>
            </w:r>
            <w:proofErr w:type="gramStart"/>
            <w:r>
              <w:rPr>
                <w:rFonts w:hint="eastAsia"/>
              </w:rPr>
              <w:t>等管系</w:t>
            </w:r>
            <w:proofErr w:type="gramEnd"/>
          </w:p>
        </w:tc>
        <w:tc>
          <w:tcPr>
            <w:tcW w:w="1034" w:type="dxa"/>
          </w:tcPr>
          <w:p w:rsidR="00BD21CF" w:rsidRDefault="00BD21CF"/>
        </w:tc>
        <w:tc>
          <w:tcPr>
            <w:tcW w:w="872" w:type="dxa"/>
          </w:tcPr>
          <w:p w:rsidR="00BD21CF" w:rsidRDefault="00BD21CF"/>
        </w:tc>
        <w:tc>
          <w:tcPr>
            <w:tcW w:w="1858" w:type="dxa"/>
          </w:tcPr>
          <w:p w:rsidR="00BD21CF" w:rsidRDefault="001F2104">
            <w:r>
              <w:rPr>
                <w:rFonts w:hint="eastAsia"/>
              </w:rPr>
              <w:t>按相关标准</w:t>
            </w:r>
          </w:p>
        </w:tc>
        <w:tc>
          <w:tcPr>
            <w:tcW w:w="1852" w:type="dxa"/>
          </w:tcPr>
          <w:p w:rsidR="00BD21CF" w:rsidRDefault="00BD21CF"/>
        </w:tc>
      </w:tr>
    </w:tbl>
    <w:p w:rsidR="00BD21CF" w:rsidRDefault="00BD21CF"/>
    <w:p w:rsidR="00BD21CF" w:rsidRDefault="001F2104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、所选色标：</w:t>
      </w:r>
      <w:r>
        <w:rPr>
          <w:rFonts w:hint="eastAsia"/>
        </w:rPr>
        <w:t>GSB05</w:t>
      </w:r>
      <w:r>
        <w:rPr>
          <w:rFonts w:ascii="宋体" w:hint="eastAsia"/>
        </w:rPr>
        <w:t>–</w:t>
      </w:r>
      <w:r>
        <w:rPr>
          <w:rFonts w:hint="eastAsia"/>
        </w:rPr>
        <w:t>1426</w:t>
      </w:r>
      <w:r>
        <w:rPr>
          <w:rFonts w:ascii="宋体" w:hint="eastAsia"/>
        </w:rPr>
        <w:t>–</w:t>
      </w:r>
      <w:r>
        <w:rPr>
          <w:rFonts w:hint="eastAsia"/>
        </w:rPr>
        <w:t>2001</w:t>
      </w:r>
    </w:p>
    <w:p w:rsidR="00BD21CF" w:rsidRPr="009377D1" w:rsidRDefault="001F2104" w:rsidP="009377D1">
      <w:r>
        <w:rPr>
          <w:rFonts w:hint="eastAsia"/>
        </w:rPr>
        <w:t xml:space="preserve">      2</w:t>
      </w:r>
      <w:r>
        <w:rPr>
          <w:rFonts w:hint="eastAsia"/>
        </w:rPr>
        <w:t>、未明确部位请及时与船东沟通。</w:t>
      </w:r>
    </w:p>
    <w:p w:rsidR="00BD21CF" w:rsidRDefault="001F2104">
      <w:pPr>
        <w:pStyle w:val="205050505"/>
        <w:numPr>
          <w:ilvl w:val="1"/>
          <w:numId w:val="1"/>
        </w:numPr>
        <w:spacing w:beforeLines="0" w:afterLines="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产品证书及检验合格证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货物到厂必须配有相应的产品出厂证书、产品检验合格证</w:t>
      </w:r>
      <w:r>
        <w:rPr>
          <w:rFonts w:asciiTheme="minorEastAsia" w:hAnsiTheme="minorEastAsia" w:cs="Arial" w:hint="eastAsia"/>
          <w:sz w:val="28"/>
          <w:szCs w:val="28"/>
        </w:rPr>
        <w:t>（</w:t>
      </w:r>
      <w:r>
        <w:rPr>
          <w:rFonts w:ascii="宋体" w:eastAsia="宋体" w:hAnsi="宋体" w:cs="Arial" w:hint="eastAsia"/>
          <w:kern w:val="0"/>
          <w:sz w:val="28"/>
          <w:szCs w:val="28"/>
        </w:rPr>
        <w:t>饮水舱</w:t>
      </w:r>
      <w:r>
        <w:rPr>
          <w:rFonts w:ascii="宋体" w:eastAsia="宋体" w:hAnsi="宋体" w:cs="Arial" w:hint="eastAsia"/>
          <w:kern w:val="0"/>
          <w:sz w:val="28"/>
          <w:szCs w:val="28"/>
        </w:rPr>
        <w:t>油漆提供专用证书</w:t>
      </w:r>
      <w:r>
        <w:rPr>
          <w:rFonts w:asciiTheme="minorEastAsia" w:hAnsiTheme="minorEastAsia" w:cs="Arial" w:hint="eastAsia"/>
          <w:sz w:val="28"/>
          <w:szCs w:val="28"/>
        </w:rPr>
        <w:t>）。</w:t>
      </w:r>
    </w:p>
    <w:p w:rsidR="00BD21CF" w:rsidRDefault="001F2104">
      <w:pPr>
        <w:ind w:firstLineChars="1300" w:firstLine="3654"/>
        <w:rPr>
          <w:rFonts w:asciiTheme="minorEastAsia" w:hAnsiTheme="minorEastAsia" w:cs="Arial"/>
          <w:b/>
          <w:bCs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sz w:val="28"/>
          <w:szCs w:val="28"/>
        </w:rPr>
        <w:t>1.8</w:t>
      </w:r>
      <w:r>
        <w:rPr>
          <w:rFonts w:asciiTheme="minorEastAsia" w:hAnsiTheme="minorEastAsia" w:cs="Arial" w:hint="eastAsia"/>
          <w:b/>
          <w:bCs/>
          <w:sz w:val="28"/>
          <w:szCs w:val="28"/>
        </w:rPr>
        <w:t>质保</w:t>
      </w:r>
    </w:p>
    <w:p w:rsidR="00BD21CF" w:rsidRDefault="001F2104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交船第一年内出现质量问题由船厂负责，第二年内由油漆供货商负责。</w:t>
      </w:r>
    </w:p>
    <w:p w:rsidR="00BD21CF" w:rsidRDefault="00BD21CF">
      <w:pPr>
        <w:jc w:val="left"/>
        <w:rPr>
          <w:rFonts w:asciiTheme="minorEastAsia" w:hAnsiTheme="minorEastAsia" w:cs="Arial"/>
          <w:sz w:val="28"/>
          <w:szCs w:val="28"/>
        </w:rPr>
      </w:pPr>
    </w:p>
    <w:sectPr w:rsidR="00BD2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04" w:rsidRDefault="001F2104" w:rsidP="009377D1">
      <w:r>
        <w:separator/>
      </w:r>
    </w:p>
  </w:endnote>
  <w:endnote w:type="continuationSeparator" w:id="0">
    <w:p w:rsidR="001F2104" w:rsidRDefault="001F2104" w:rsidP="0093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04" w:rsidRDefault="001F2104" w:rsidP="009377D1">
      <w:r>
        <w:separator/>
      </w:r>
    </w:p>
  </w:footnote>
  <w:footnote w:type="continuationSeparator" w:id="0">
    <w:p w:rsidR="001F2104" w:rsidRDefault="001F2104" w:rsidP="00937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EB5"/>
    <w:multiLevelType w:val="multilevel"/>
    <w:tmpl w:val="3AE64EB5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0" w:firstLine="0"/>
      </w:pPr>
      <w:rPr>
        <w:rFonts w:ascii="Arial" w:eastAsia="宋体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ascii="Arial" w:eastAsia="宋体" w:hAnsi="Arial"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-284"/>
        </w:tabs>
        <w:ind w:left="0" w:firstLine="0"/>
      </w:pPr>
      <w:rPr>
        <w:rFonts w:ascii="Arial" w:eastAsia="宋体" w:hAnsi="Arial" w:hint="default"/>
        <w:b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-284"/>
        </w:tabs>
        <w:ind w:left="0" w:firstLine="0"/>
      </w:pPr>
      <w:rPr>
        <w:rFonts w:ascii="Arial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2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54"/>
    <w:rsid w:val="00002A69"/>
    <w:rsid w:val="00114479"/>
    <w:rsid w:val="0015435E"/>
    <w:rsid w:val="001854A9"/>
    <w:rsid w:val="001F2104"/>
    <w:rsid w:val="002E392E"/>
    <w:rsid w:val="002F6E15"/>
    <w:rsid w:val="00394BAD"/>
    <w:rsid w:val="003D085B"/>
    <w:rsid w:val="00407508"/>
    <w:rsid w:val="004154E9"/>
    <w:rsid w:val="00437079"/>
    <w:rsid w:val="00443463"/>
    <w:rsid w:val="004A6FC1"/>
    <w:rsid w:val="00511ADD"/>
    <w:rsid w:val="005B6559"/>
    <w:rsid w:val="00647BBE"/>
    <w:rsid w:val="006509AE"/>
    <w:rsid w:val="006F69F6"/>
    <w:rsid w:val="00715A9F"/>
    <w:rsid w:val="00783822"/>
    <w:rsid w:val="007D65D8"/>
    <w:rsid w:val="00862F83"/>
    <w:rsid w:val="00875039"/>
    <w:rsid w:val="00883BC7"/>
    <w:rsid w:val="00897DEE"/>
    <w:rsid w:val="008B44F9"/>
    <w:rsid w:val="008E44C6"/>
    <w:rsid w:val="008F0BE0"/>
    <w:rsid w:val="008F0ECF"/>
    <w:rsid w:val="009260A0"/>
    <w:rsid w:val="009377D1"/>
    <w:rsid w:val="00995EC2"/>
    <w:rsid w:val="009D7C84"/>
    <w:rsid w:val="00B0041E"/>
    <w:rsid w:val="00B3520F"/>
    <w:rsid w:val="00B56866"/>
    <w:rsid w:val="00BD21CF"/>
    <w:rsid w:val="00C557E6"/>
    <w:rsid w:val="00D04A37"/>
    <w:rsid w:val="00D85450"/>
    <w:rsid w:val="00D971AE"/>
    <w:rsid w:val="00E12D56"/>
    <w:rsid w:val="00E4789C"/>
    <w:rsid w:val="00EE3D60"/>
    <w:rsid w:val="00F14354"/>
    <w:rsid w:val="00F34B54"/>
    <w:rsid w:val="06996B78"/>
    <w:rsid w:val="06F00CEA"/>
    <w:rsid w:val="0BB371FD"/>
    <w:rsid w:val="0C2A3B6B"/>
    <w:rsid w:val="0C8810F8"/>
    <w:rsid w:val="0E5F213E"/>
    <w:rsid w:val="169077FD"/>
    <w:rsid w:val="2B746E25"/>
    <w:rsid w:val="335E1F88"/>
    <w:rsid w:val="337F0DED"/>
    <w:rsid w:val="41015F2B"/>
    <w:rsid w:val="431F5F28"/>
    <w:rsid w:val="45CF09B5"/>
    <w:rsid w:val="467D7B95"/>
    <w:rsid w:val="4F2B13AA"/>
    <w:rsid w:val="587A73EC"/>
    <w:rsid w:val="5BEA5560"/>
    <w:rsid w:val="612364CB"/>
    <w:rsid w:val="68D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tabs>
        <w:tab w:val="left" w:pos="720"/>
      </w:tabs>
      <w:adjustRightInd w:val="0"/>
      <w:snapToGrid w:val="0"/>
      <w:spacing w:beforeLines="20" w:afterLines="20" w:line="340" w:lineRule="exact"/>
      <w:outlineLvl w:val="0"/>
    </w:pPr>
    <w:rPr>
      <w:rFonts w:ascii="宋体" w:hAnsi="宋体" w:cs="Arial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Char">
    <w:name w:val="标题 1 Char"/>
    <w:basedOn w:val="a0"/>
    <w:link w:val="1"/>
    <w:rPr>
      <w:rFonts w:ascii="宋体" w:hAnsi="宋体" w:cs="Arial"/>
      <w:b/>
      <w:kern w:val="44"/>
      <w:sz w:val="24"/>
      <w:szCs w:val="24"/>
    </w:rPr>
  </w:style>
  <w:style w:type="paragraph" w:customStyle="1" w:styleId="205050505">
    <w:name w:val="样式 样式 标题 2 + 段前: 0.5 行 段后: 0.5 行 + 段前: 0.5 行 段后: 0.5 行"/>
    <w:basedOn w:val="a"/>
    <w:qFormat/>
    <w:pPr>
      <w:keepNext/>
      <w:keepLines/>
      <w:spacing w:beforeLines="50" w:afterLines="50" w:line="320" w:lineRule="exact"/>
      <w:jc w:val="left"/>
      <w:outlineLvl w:val="1"/>
    </w:pPr>
    <w:rPr>
      <w:rFonts w:ascii="Arial" w:hAnsi="Arial" w:cs="宋体"/>
      <w:b/>
      <w:sz w:val="24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tabs>
        <w:tab w:val="left" w:pos="720"/>
      </w:tabs>
      <w:adjustRightInd w:val="0"/>
      <w:snapToGrid w:val="0"/>
      <w:spacing w:beforeLines="20" w:afterLines="20" w:line="340" w:lineRule="exact"/>
      <w:outlineLvl w:val="0"/>
    </w:pPr>
    <w:rPr>
      <w:rFonts w:ascii="宋体" w:hAnsi="宋体" w:cs="Arial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Char">
    <w:name w:val="标题 1 Char"/>
    <w:basedOn w:val="a0"/>
    <w:link w:val="1"/>
    <w:rPr>
      <w:rFonts w:ascii="宋体" w:hAnsi="宋体" w:cs="Arial"/>
      <w:b/>
      <w:kern w:val="44"/>
      <w:sz w:val="24"/>
      <w:szCs w:val="24"/>
    </w:rPr>
  </w:style>
  <w:style w:type="paragraph" w:customStyle="1" w:styleId="205050505">
    <w:name w:val="样式 样式 标题 2 + 段前: 0.5 行 段后: 0.5 行 + 段前: 0.5 行 段后: 0.5 行"/>
    <w:basedOn w:val="a"/>
    <w:qFormat/>
    <w:pPr>
      <w:keepNext/>
      <w:keepLines/>
      <w:spacing w:beforeLines="50" w:afterLines="50" w:line="320" w:lineRule="exact"/>
      <w:jc w:val="left"/>
      <w:outlineLvl w:val="1"/>
    </w:pPr>
    <w:rPr>
      <w:rFonts w:ascii="Arial" w:hAnsi="Arial" w:cs="宋体"/>
      <w:b/>
      <w:sz w:val="24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729FF-F679-4659-A451-44512FB4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575</Words>
  <Characters>3283</Characters>
  <Application>Microsoft Office Word</Application>
  <DocSecurity>0</DocSecurity>
  <Lines>27</Lines>
  <Paragraphs>7</Paragraphs>
  <ScaleCrop>false</ScaleCrop>
  <Company>China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</cp:revision>
  <cp:lastPrinted>2022-04-19T04:45:00Z</cp:lastPrinted>
  <dcterms:created xsi:type="dcterms:W3CDTF">2022-04-21T01:20:00Z</dcterms:created>
  <dcterms:modified xsi:type="dcterms:W3CDTF">2022-07-18T02:38:00Z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31524D3A031646C7B6EFCB924A650173</vt:lpwstr>
  </property>
</Properties>
</file>