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附件四：</w:t>
      </w:r>
    </w:p>
    <w:p>
      <w:pPr>
        <w:ind w:firstLine="0"/>
        <w:rPr>
          <w:rFonts w:ascii="宋体" w:hAnsi="宋体"/>
          <w:sz w:val="28"/>
          <w:szCs w:val="28"/>
          <w:lang w:eastAsia="zh-CN"/>
        </w:rPr>
      </w:pPr>
    </w:p>
    <w:p>
      <w:pPr>
        <w:ind w:firstLine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  标  通  知  书</w:t>
      </w:r>
    </w:p>
    <w:p>
      <w:pPr>
        <w:ind w:firstLine="0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公司：          </w:t>
      </w: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重庆太平洋国际物流有限公司2021-2022年度“渝申（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叙申、泸申、理申、玖申、渝申、</w:t>
      </w:r>
      <w:r>
        <w:rPr>
          <w:rFonts w:hint="eastAsia" w:ascii="仿宋_GB2312" w:hAnsi="宋体" w:eastAsia="仿宋_GB2312"/>
          <w:b/>
          <w:kern w:val="2"/>
          <w:sz w:val="30"/>
          <w:szCs w:val="30"/>
          <w:lang w:eastAsia="zh-CN"/>
        </w:rPr>
        <w:t>渝太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）线集装箱、件杂货包船运输（期租）”的招标工作已圆满结束，经过评标委员会的评审和推荐，最终确定你单位在本项目的投标中中标。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请务必于《中标通知书》发出之日起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天内带齐有关文件到重庆太平洋国际物流有限公司商议签订合同。</w:t>
      </w: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</w:p>
    <w:p>
      <w:pPr>
        <w:tabs>
          <w:tab w:val="left" w:pos="5100"/>
        </w:tabs>
        <w:spacing w:line="360" w:lineRule="auto"/>
        <w:rPr>
          <w:rFonts w:hint="eastAsia" w:ascii="仿宋_GB2312" w:hAnsi="宋体" w:eastAsia="仿宋_GB2312"/>
          <w:spacing w:val="20"/>
          <w:kern w:val="28"/>
          <w:sz w:val="32"/>
          <w:szCs w:val="32"/>
          <w:lang w:eastAsia="zh-CN"/>
        </w:rPr>
      </w:pPr>
    </w:p>
    <w:p>
      <w:pPr>
        <w:tabs>
          <w:tab w:val="left" w:pos="5100"/>
        </w:tabs>
        <w:spacing w:line="360" w:lineRule="auto"/>
        <w:rPr>
          <w:rFonts w:hint="eastAsia" w:ascii="仿宋_GB2312" w:hAnsi="宋体" w:eastAsia="仿宋_GB2312"/>
          <w:spacing w:val="20"/>
          <w:kern w:val="28"/>
          <w:sz w:val="32"/>
          <w:szCs w:val="32"/>
          <w:lang w:eastAsia="zh-CN"/>
        </w:rPr>
      </w:pPr>
    </w:p>
    <w:p>
      <w:pPr>
        <w:ind w:firstLine="723" w:firstLineChars="200"/>
        <w:rPr>
          <w:rFonts w:hint="eastAsia" w:ascii="仿宋_GB2312" w:eastAsia="仿宋_GB2312"/>
          <w:spacing w:val="2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pacing w:val="20"/>
          <w:kern w:val="28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b/>
          <w:spacing w:val="20"/>
          <w:kern w:val="28"/>
          <w:sz w:val="32"/>
          <w:szCs w:val="32"/>
          <w:lang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重庆太平洋国际物流有限公司</w:t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 xml:space="preserve">                年   月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jc w:val="both"/>
      <w:rPr>
        <w:rFonts w:hint="eastAsia"/>
        <w:lang w:eastAsia="zh-CN"/>
      </w:rPr>
    </w:pPr>
    <w:r>
      <w:rPr>
        <w:rStyle w:val="4"/>
        <w:rFonts w:hint="eastAsia"/>
        <w:lang w:eastAsia="zh-CN"/>
      </w:rPr>
      <w:t>共</w:t>
    </w:r>
    <w:r>
      <w:fldChar w:fldCharType="begin"/>
    </w:r>
    <w:r>
      <w:rPr>
        <w:rStyle w:val="4"/>
      </w:rPr>
      <w:instrText xml:space="preserve"> NUMPAGES </w:instrText>
    </w:r>
    <w:r>
      <w:fldChar w:fldCharType="separate"/>
    </w:r>
    <w:r>
      <w:rPr>
        <w:rStyle w:val="4"/>
      </w:rPr>
      <w:t>12</w:t>
    </w:r>
    <w:r>
      <w:fldChar w:fldCharType="end"/>
    </w:r>
    <w:r>
      <w:rPr>
        <w:rStyle w:val="4"/>
        <w:rFonts w:hint="eastAsia"/>
        <w:lang w:eastAsia="zh-CN"/>
      </w:rPr>
      <w:t>页                                        第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2</w:t>
    </w:r>
    <w:r>
      <w:fldChar w:fldCharType="end"/>
    </w:r>
    <w:r>
      <w:rPr>
        <w:rStyle w:val="4"/>
        <w:rFonts w:hint="eastAsia"/>
        <w:lang w:eastAsia="zh-CN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2A90"/>
    <w:rsid w:val="6BBC2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2021-07-14T02:46:00Z</dcterms:created>
  <dc:creator>文秘</dc:creator>
  <cp:lastModifiedBy>文秘</cp:lastModifiedBy>
  <dcterms:modified xsi:type="dcterms:W3CDTF">2021-07-14T02:47:10Z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